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141A5" w:rsidRPr="00D141A5" w:rsidTr="00D141A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55"/>
              <w:gridCol w:w="1851"/>
            </w:tblGrid>
            <w:tr w:rsidR="00D141A5" w:rsidRPr="00D141A5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455"/>
                  </w:tblGrid>
                  <w:tr w:rsidR="00D141A5" w:rsidRPr="00D141A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455"/>
                        </w:tblGrid>
                        <w:tr w:rsidR="00D141A5" w:rsidRPr="00D141A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7500" w:type="dxa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/>
                              </w:tblPr>
                              <w:tblGrid>
                                <w:gridCol w:w="2445"/>
                                <w:gridCol w:w="4010"/>
                              </w:tblGrid>
                              <w:tr w:rsidR="00D141A5" w:rsidRPr="00D141A5">
                                <w:trPr>
                                  <w:trHeight w:val="1845"/>
                                </w:trPr>
                                <w:tc>
                                  <w:tcPr>
                                    <w:tcW w:w="27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D141A5" w:rsidRPr="00D141A5" w:rsidRDefault="00D141A5" w:rsidP="00D141A5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宋体" w:hAnsi="Arial" w:cs="Arial"/>
                                        <w:noProof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  <w:drawing>
                                        <wp:inline distT="0" distB="0" distL="0" distR="0">
                                          <wp:extent cx="1771650" cy="1171575"/>
                                          <wp:effectExtent l="19050" t="0" r="0" b="0"/>
                                          <wp:docPr id="1" name="图片 1" descr="http://www.apo.lyondellbasell.com/static/wma/JPG/1/4/1/1/4/DEXFLEX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://www.apo.lyondellbasell.com/static/wma/JPG/1/4/1/1/4/DEXFLEX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71650" cy="1171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500" w:type="dxa"/>
                                      <w:tblCellMar>
                                        <w:top w:w="75" w:type="dxa"/>
                                        <w:left w:w="75" w:type="dxa"/>
                                        <w:bottom w:w="75" w:type="dxa"/>
                                        <w:right w:w="7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3860"/>
                                    </w:tblGrid>
                                    <w:tr w:rsidR="00D141A5" w:rsidRPr="00D141A5">
                                      <w:tc>
                                        <w:tcPr>
                                          <w:tcW w:w="45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D141A5" w:rsidRPr="00D141A5" w:rsidRDefault="00D141A5" w:rsidP="00D141A5">
                                          <w:pPr>
                                            <w:widowControl/>
                                            <w:spacing w:line="195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36"/>
                                              <w:szCs w:val="36"/>
                                            </w:rPr>
                                            <w:t>Automotive Exteriors</w:t>
                                          </w:r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Arial" w:eastAsia="宋体" w:hAnsi="Arial" w:cs="Arial"/>
                                              <w:noProof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>
                                                <wp:extent cx="2867025" cy="66675"/>
                                                <wp:effectExtent l="19050" t="0" r="9525" b="0"/>
                                                <wp:docPr id="2" name="图片 2" descr="http://www.apo.lyondellbasell.com/static/wma/gif/1/4/5/8/8/Ligne.gif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http://www.apo.lyondellbasell.com/static/wma/gif/1/4/5/8/8/Ligne.gif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/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67025" cy="666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noFill/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7"/>
                                              <w:szCs w:val="17"/>
                                            </w:rPr>
                                            <w:br/>
                                          </w:r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  <w:t>DEXFLEX® TPOs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141A5" w:rsidRPr="00D141A5" w:rsidRDefault="00D141A5" w:rsidP="00D141A5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D141A5" w:rsidRPr="00D141A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7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05"/>
                                <w:gridCol w:w="7095"/>
                              </w:tblGrid>
                              <w:tr w:rsidR="00D141A5" w:rsidRPr="00D141A5">
                                <w:tc>
                                  <w:tcPr>
                                    <w:tcW w:w="40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D141A5" w:rsidRPr="00D141A5" w:rsidRDefault="00D141A5" w:rsidP="00D141A5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09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D141A5" w:rsidRPr="00D141A5" w:rsidRDefault="00D141A5" w:rsidP="00D141A5">
                                    <w:pPr>
                                      <w:widowControl/>
                                      <w:spacing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  <w:p w:rsidR="00D141A5" w:rsidRPr="00D141A5" w:rsidRDefault="00D141A5" w:rsidP="00D141A5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D141A5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 xml:space="preserve">Over the years, our product engineers have commercialized scores of these versatile, general-purpose thermoplastic </w:t>
                                    </w:r>
                                    <w:proofErr w:type="spellStart"/>
                                    <w:r w:rsidRPr="00D141A5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polyolefins</w:t>
                                    </w:r>
                                    <w:proofErr w:type="spellEnd"/>
                                    <w:r w:rsidRPr="00D141A5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8"/>
                                      </w:rPr>
                                      <w:t>. Grades of DEXFLEX TPO have been developed for specific exterior applications and customized for specific process parameters. For a technical data sheet containing properties and a list of intended applications, click on any of the materials listed below: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720"/>
                                      <w:gridCol w:w="1732"/>
                                      <w:gridCol w:w="1924"/>
                                      <w:gridCol w:w="1719"/>
                                    </w:tblGrid>
                                    <w:tr w:rsidR="00D141A5" w:rsidRPr="00D141A5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91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D141A5" w:rsidRPr="00D141A5" w:rsidRDefault="00D141A5" w:rsidP="00D141A5">
                                          <w:pPr>
                                            <w:widowControl/>
                                            <w:spacing w:line="210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6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711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7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727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8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760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93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D141A5" w:rsidRPr="00D141A5" w:rsidRDefault="00D141A5" w:rsidP="00D141A5">
                                          <w:pPr>
                                            <w:widowControl/>
                                            <w:spacing w:line="210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9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777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0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810-1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1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815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0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D141A5" w:rsidRPr="00D141A5" w:rsidRDefault="00D141A5" w:rsidP="00D141A5">
                                          <w:pPr>
                                            <w:widowControl/>
                                            <w:spacing w:line="210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12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930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3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930HS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4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940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91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:rsidR="00D141A5" w:rsidRPr="00D141A5" w:rsidRDefault="00D141A5" w:rsidP="00D141A5">
                                          <w:pPr>
                                            <w:widowControl/>
                                            <w:spacing w:line="210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hyperlink r:id="rId15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950</w:t>
                                            </w:r>
                                          </w:hyperlink>
                                          <w:r w:rsidRPr="00D141A5"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  <w:br/>
                                          </w:r>
                                          <w:hyperlink r:id="rId16" w:tgtFrame="_blank" w:history="1">
                                            <w:r w:rsidRPr="00D141A5">
                                              <w:rPr>
                                                <w:rFonts w:ascii="Arial" w:eastAsia="宋体" w:hAnsi="Arial" w:cs="Arial"/>
                                                <w:color w:val="999999"/>
                                                <w:kern w:val="0"/>
                                                <w:sz w:val="17"/>
                                                <w:u w:val="single"/>
                                              </w:rPr>
                                              <w:t>1066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D141A5" w:rsidRPr="00D141A5" w:rsidRDefault="00D141A5" w:rsidP="00D141A5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D141A5"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 w:rsidRPr="00D141A5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000000"/>
                                        <w:kern w:val="0"/>
                                        <w:sz w:val="18"/>
                                      </w:rPr>
                                      <w:t>Note: the prefix E indicates a grade designed for extrusion applications. Suffixes such as ‘HF’ or ‘HS’ refer to high-flow or high-shrink versions of a specific grade.</w:t>
                                    </w:r>
                                  </w:p>
                                  <w:p w:rsidR="00D141A5" w:rsidRPr="00D141A5" w:rsidRDefault="00D141A5" w:rsidP="00D141A5">
                                    <w:pPr>
                                      <w:widowControl/>
                                      <w:spacing w:before="100" w:beforeAutospacing="1" w:after="100" w:afterAutospacing="1" w:line="195" w:lineRule="atLeast"/>
                                      <w:jc w:val="left"/>
                                      <w:rPr>
                                        <w:rFonts w:ascii="Arial" w:eastAsia="宋体" w:hAnsi="Arial" w:cs="Arial"/>
                                        <w:color w:val="000000"/>
                                        <w:kern w:val="0"/>
                                        <w:sz w:val="17"/>
                                        <w:szCs w:val="17"/>
                                      </w:rPr>
                                    </w:pPr>
                                    <w:r w:rsidRPr="00D141A5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4C90C1"/>
                                        <w:kern w:val="0"/>
                                        <w:sz w:val="18"/>
                                      </w:rPr>
                                      <w:t xml:space="preserve">For a listing of automotive OEM specifications to which these materials are approved, click the ‘OEM Approvals’ button at right. For technical data on SEQUEL engineered </w:t>
                                    </w:r>
                                    <w:proofErr w:type="spellStart"/>
                                    <w:r w:rsidRPr="00D141A5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4C90C1"/>
                                        <w:kern w:val="0"/>
                                        <w:sz w:val="18"/>
                                      </w:rPr>
                                      <w:t>polyolefins</w:t>
                                    </w:r>
                                    <w:proofErr w:type="spellEnd"/>
                                    <w:r w:rsidRPr="00D141A5">
                                      <w:rPr>
                                        <w:rFonts w:ascii="Arial" w:eastAsia="宋体" w:hAnsi="Arial" w:cs="Arial"/>
                                        <w:i/>
                                        <w:iCs/>
                                        <w:color w:val="4C90C1"/>
                                        <w:kern w:val="0"/>
                                        <w:sz w:val="18"/>
                                      </w:rPr>
                                      <w:t xml:space="preserve"> or INDURE series materials, click on the appropriate button. For a complete listing of our TPO and TPV materials, click on the "Complete Technical Data" button at right.</w:t>
                                    </w:r>
                                  </w:p>
                                </w:tc>
                              </w:tr>
                            </w:tbl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</w:tbl>
                      <w:p w:rsidR="00D141A5" w:rsidRPr="00D141A5" w:rsidRDefault="00D141A5" w:rsidP="00D141A5">
                        <w:pPr>
                          <w:widowControl/>
                          <w:spacing w:line="195" w:lineRule="atLeast"/>
                          <w:jc w:val="center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D141A5" w:rsidRPr="00D141A5" w:rsidRDefault="00D141A5" w:rsidP="00D141A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51"/>
                  </w:tblGrid>
                  <w:tr w:rsidR="00D141A5" w:rsidRPr="00D141A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51"/>
                        </w:tblGrid>
                        <w:tr w:rsidR="00D141A5" w:rsidRPr="00D141A5">
                          <w:tc>
                            <w:tcPr>
                              <w:tcW w:w="50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 w:rsidRPr="00D141A5"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141A5" w:rsidRPr="00D141A5" w:rsidRDefault="00D141A5" w:rsidP="00D141A5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141A5" w:rsidRPr="00D141A5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800" w:type="dxa"/>
                          <w:tblCellSpacing w:w="6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51"/>
                        </w:tblGrid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19100"/>
                                    <wp:effectExtent l="19050" t="0" r="9525" b="0"/>
                                    <wp:docPr id="3" name="图片 3" descr="http://www.apo.lyondellbasell.com/static/wma/gif/1/3/2/3/4/Banner_Products.gif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www.apo.lyondellbasell.com/static/wma/gif/1/3/2/3/4/Banner_Products.gif">
                                              <a:hlinkClick r:id="rId1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19100"/>
                                    <wp:effectExtent l="19050" t="0" r="9525" b="0"/>
                                    <wp:docPr id="4" name="图片 4" descr="http://www.apo.lyondellbasell.com/static/wma/gif/1/3/3/2/3/Banner_SEQUEL.gif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apo.lyondellbasell.com/static/wma/gif/1/3/3/2/3/Banner_SEQUEL.gif">
                                              <a:hlinkClick r:id="rId1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19100"/>
                                    <wp:effectExtent l="19050" t="0" r="9525" b="0"/>
                                    <wp:docPr id="5" name="图片 5" descr="http://www.apo.lyondellbasell.com/static/wma/gif/1/3/3/2/1/Banner_INDURE.gif">
                                      <a:hlinkClick xmlns:a="http://schemas.openxmlformats.org/drawingml/2006/main" r:id="rId2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apo.lyondellbasell.com/static/wma/gif/1/3/3/2/1/Banner_INDURE.gif">
                                              <a:hlinkClick r:id="rId2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19100"/>
                                    <wp:effectExtent l="19050" t="0" r="9525" b="0"/>
                                    <wp:docPr id="6" name="图片 6" descr="http://www.apo.lyondellbasell.com/static/wma/gif/1/3/3/2/2/Banner_OEM.gif">
                                      <a:hlinkClick xmlns:a="http://schemas.openxmlformats.org/drawingml/2006/main" r:id="rId2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apo.lyondellbasell.com/static/wma/gif/1/3/3/2/2/Banner_OEM.gif">
                                              <a:hlinkClick r:id="rId2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09575"/>
                                    <wp:effectExtent l="19050" t="0" r="9525" b="0"/>
                                    <wp:docPr id="7" name="图片 7" descr="http://www.apo.lyondellbasell.com/static/wma/gif/1/3/3/2/4/Banner_ProcessingGuides.gif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www.apo.lyondellbasell.com/static/wma/gif/1/3/3/2/4/Banner_ProcessingGuides.gif">
                                              <a:hlinkClick r:id="rId25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095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152525" cy="438150"/>
                                    <wp:effectExtent l="19050" t="0" r="9525" b="0"/>
                                    <wp:docPr id="8" name="图片 8" descr="http://www.apo.lyondellbasell.com/static/wma/gif/1/3/3/2/5/Banner_Contact_Auto_Ext.gif">
                                      <a:hlinkClick xmlns:a="http://schemas.openxmlformats.org/drawingml/2006/main" r:id="rId2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apo.lyondellbasell.com/static/wma/gif/1/3/3/2/5/Banner_Contact_Auto_Ext.gif">
                                              <a:hlinkClick r:id="rId2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438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141A5" w:rsidRPr="00D141A5">
                          <w:trPr>
                            <w:tblCellSpacing w:w="6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141A5" w:rsidRPr="00D141A5" w:rsidRDefault="00D141A5" w:rsidP="00D141A5">
                              <w:pPr>
                                <w:widowControl/>
                                <w:spacing w:line="195" w:lineRule="atLeast"/>
                                <w:jc w:val="left"/>
                                <w:rPr>
                                  <w:rFonts w:ascii="Arial" w:eastAsia="宋体" w:hAnsi="Arial" w:cs="Arial"/>
                                  <w:color w:val="000000"/>
                                  <w:kern w:val="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宋体" w:hAnsi="Arial" w:cs="Arial"/>
                                  <w:noProof/>
                                  <w:color w:val="999999"/>
                                  <w:kern w:val="0"/>
                                  <w:sz w:val="17"/>
                                  <w:szCs w:val="17"/>
                                </w:rPr>
                                <w:drawing>
                                  <wp:inline distT="0" distB="0" distL="0" distR="0">
                                    <wp:extent cx="1228725" cy="666750"/>
                                    <wp:effectExtent l="19050" t="0" r="9525" b="0"/>
                                    <wp:docPr id="9" name="图片 9" descr="http://www.apo.lyondellbasell.com/static/wma/gif/1/3/2/3/5/Banner_TDS.gif">
                                      <a:hlinkClick xmlns:a="http://schemas.openxmlformats.org/drawingml/2006/main" r:id="rId2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apo.lyondellbasell.com/static/wma/gif/1/3/2/3/5/Banner_TDS.gif">
                                              <a:hlinkClick r:id="rId2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8725" cy="666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141A5" w:rsidRPr="00D141A5" w:rsidRDefault="00D141A5" w:rsidP="00D141A5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D141A5" w:rsidRPr="00D141A5" w:rsidRDefault="00D141A5" w:rsidP="00D141A5">
                  <w:pPr>
                    <w:widowControl/>
                    <w:spacing w:line="195" w:lineRule="atLeast"/>
                    <w:jc w:val="righ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D141A5" w:rsidRPr="00D141A5" w:rsidRDefault="00D141A5" w:rsidP="00D141A5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D141A5" w:rsidRPr="00D141A5" w:rsidRDefault="00D141A5" w:rsidP="00D141A5">
      <w:pPr>
        <w:widowControl/>
        <w:spacing w:line="195" w:lineRule="atLeast"/>
        <w:jc w:val="left"/>
        <w:rPr>
          <w:rFonts w:ascii="Arial" w:eastAsia="宋体" w:hAnsi="Arial" w:cs="Arial"/>
          <w:vanish/>
          <w:color w:val="000000"/>
          <w:kern w:val="0"/>
          <w:sz w:val="17"/>
          <w:szCs w:val="1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141A5" w:rsidRPr="00D141A5" w:rsidTr="00D141A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D141A5" w:rsidRPr="00D141A5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D141A5" w:rsidRPr="00D141A5" w:rsidRDefault="00D141A5" w:rsidP="00D141A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图片 10" descr="http://www.apo.lyondellbasell.com/static/wma/cda/img/static/shi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apo.lyondellbasell.com/static/wma/cda/img/static/shi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41A5" w:rsidRPr="00D141A5" w:rsidRDefault="00D141A5" w:rsidP="00D141A5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Default="00B856D5"/>
    <w:sectPr w:rsidR="00B856D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1A5"/>
    <w:rsid w:val="00B856D5"/>
    <w:rsid w:val="00D1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41A5"/>
    <w:rPr>
      <w:color w:val="999999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D141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D141A5"/>
    <w:rPr>
      <w:i w:val="0"/>
      <w:iCs w:val="0"/>
      <w:color w:val="000000"/>
      <w:sz w:val="18"/>
      <w:szCs w:val="18"/>
    </w:rPr>
  </w:style>
  <w:style w:type="character" w:styleId="a5">
    <w:name w:val="Emphasis"/>
    <w:basedOn w:val="a0"/>
    <w:uiPriority w:val="20"/>
    <w:qFormat/>
    <w:rsid w:val="00D141A5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D141A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14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products/exterior/static/wma/pdf/7/5/0/6/DEXFLEX_760.pdf" TargetMode="External"/><Relationship Id="rId13" Type="http://schemas.openxmlformats.org/officeDocument/2006/relationships/hyperlink" Target="http://www.apo.lyondellbasell.com/products/exterior/static/wma/pdf/7/5/1/9/DEXFLEX_930HS.pdf" TargetMode="External"/><Relationship Id="rId18" Type="http://schemas.openxmlformats.org/officeDocument/2006/relationships/image" Target="media/image3.gif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hyperlink" Target="http://www.apo.lyondellbasell.com/products/exterior/showexterior/0,,42428-2-0,00.htm" TargetMode="External"/><Relationship Id="rId7" Type="http://schemas.openxmlformats.org/officeDocument/2006/relationships/hyperlink" Target="http://www.apo.lyondellbasell.com/products/exterior/static/wma/pdf/7/5/0/5/DEXFLEX_727.pdf" TargetMode="External"/><Relationship Id="rId12" Type="http://schemas.openxmlformats.org/officeDocument/2006/relationships/hyperlink" Target="http://www.apo.lyondellbasell.com/products/exterior/static/wma/pdf/7/5/1/8/DEXFLEX_930.pdf" TargetMode="External"/><Relationship Id="rId17" Type="http://schemas.openxmlformats.org/officeDocument/2006/relationships/hyperlink" Target="http://www.apo.lyondellbasell.com/products/0,,42294-2-0,00.htm" TargetMode="External"/><Relationship Id="rId25" Type="http://schemas.openxmlformats.org/officeDocument/2006/relationships/hyperlink" Target="http://www.apo.lyondellbasell.com/companyliterature/0,,42296-2-0,00.ht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apo.lyondellbasell.com/products/exterior/static/wma/pdf/7/5/3/7/DEXFLEX_E1066.pdf" TargetMode="External"/><Relationship Id="rId20" Type="http://schemas.openxmlformats.org/officeDocument/2006/relationships/image" Target="media/image4.gif"/><Relationship Id="rId29" Type="http://schemas.openxmlformats.org/officeDocument/2006/relationships/hyperlink" Target="http://www.apo.lyondellbasell.com/technicaldata/0,,42295-2-0,00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products/exterior/static/wma/pdf/7/5/0/3/DEXFLEX_711.pdf" TargetMode="External"/><Relationship Id="rId11" Type="http://schemas.openxmlformats.org/officeDocument/2006/relationships/hyperlink" Target="http://www.apo.lyondellbasell.com/products/exterior/static/wma/pdf/7/5/1/3/DEXFLEX_815.pdf" TargetMode="External"/><Relationship Id="rId24" Type="http://schemas.openxmlformats.org/officeDocument/2006/relationships/image" Target="media/image6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hyperlink" Target="http://www.apo.lyondellbasell.com/products/exterior/static/wma/pdf/7/5/2/1/DEXFLEX_950.pdf" TargetMode="External"/><Relationship Id="rId23" Type="http://schemas.openxmlformats.org/officeDocument/2006/relationships/hyperlink" Target="http://www.apo.lyondellbasell.com/products/exterior/showexterior/0,,42427-2-0,00.htm" TargetMode="External"/><Relationship Id="rId28" Type="http://schemas.openxmlformats.org/officeDocument/2006/relationships/image" Target="media/image8.gif"/><Relationship Id="rId10" Type="http://schemas.openxmlformats.org/officeDocument/2006/relationships/hyperlink" Target="http://www.apo.lyondellbasell.com/products/exterior/static/wma/pdf/7/5/0/9/DEXFLEX_810-1.pdf" TargetMode="External"/><Relationship Id="rId19" Type="http://schemas.openxmlformats.org/officeDocument/2006/relationships/hyperlink" Target="http://www.apo.lyondellbasell.com/products/exterior/showexterior/0,,44532-2-0,00.htm" TargetMode="External"/><Relationship Id="rId31" Type="http://schemas.openxmlformats.org/officeDocument/2006/relationships/image" Target="media/image10.gif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products/exterior/static/wma/pdf/7/5/0/7/DEXFLEX_777.pdf" TargetMode="External"/><Relationship Id="rId14" Type="http://schemas.openxmlformats.org/officeDocument/2006/relationships/hyperlink" Target="http://www.apo.lyondellbasell.com/products/exterior/static/wma/pdf/7/5/2/0/DEXFLEX_940.pdf" TargetMode="External"/><Relationship Id="rId22" Type="http://schemas.openxmlformats.org/officeDocument/2006/relationships/image" Target="media/image5.gif"/><Relationship Id="rId27" Type="http://schemas.openxmlformats.org/officeDocument/2006/relationships/hyperlink" Target="mailto:craig.abernethy@lyondellbasell.com" TargetMode="External"/><Relationship Id="rId30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2008-03-06T04:47:00Z</dcterms:created>
  <dcterms:modified xsi:type="dcterms:W3CDTF">2008-03-06T04:48:00Z</dcterms:modified>
</cp:coreProperties>
</file>